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9DF" w:rsidRPr="006A18D3" w:rsidRDefault="001479DF" w:rsidP="001479DF">
      <w:pPr>
        <w:tabs>
          <w:tab w:val="left" w:pos="6804"/>
        </w:tabs>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Phụ lục số 03</w:t>
      </w:r>
    </w:p>
    <w:p w:rsidR="001479DF" w:rsidRPr="006A18D3" w:rsidRDefault="001479DF" w:rsidP="001479DF">
      <w:pPr>
        <w:tabs>
          <w:tab w:val="left" w:pos="6804"/>
        </w:tabs>
        <w:jc w:val="center"/>
        <w:rPr>
          <w:rFonts w:asciiTheme="majorHAnsi" w:eastAsia="Calibri" w:hAnsiTheme="majorHAnsi" w:cstheme="majorHAnsi"/>
          <w:i/>
          <w:noProof/>
          <w:color w:val="000000"/>
          <w:sz w:val="28"/>
          <w:szCs w:val="28"/>
          <w:lang w:val="en-GB"/>
        </w:rPr>
      </w:pPr>
      <w:r w:rsidRPr="006A18D3">
        <w:rPr>
          <w:rFonts w:asciiTheme="majorHAnsi" w:eastAsia="Calibri" w:hAnsiTheme="majorHAnsi" w:cstheme="majorHAnsi"/>
          <w:i/>
          <w:noProof/>
          <w:color w:val="000000"/>
          <w:sz w:val="28"/>
          <w:szCs w:val="28"/>
          <w:lang w:val="en-GB"/>
        </w:rPr>
        <w:t>(Ban hành kèm theo Thông tư số 24/2019/TT-NHNN của Thống đốc Ngân hàng Nhà nước Việt Nam quy định về tái cấp vốn dưới hình thức cho vay lại</w:t>
      </w:r>
    </w:p>
    <w:p w:rsidR="001479DF" w:rsidRPr="006A18D3" w:rsidRDefault="001479DF" w:rsidP="001479DF">
      <w:pPr>
        <w:tabs>
          <w:tab w:val="left" w:pos="6804"/>
        </w:tabs>
        <w:jc w:val="center"/>
        <w:rPr>
          <w:rFonts w:asciiTheme="majorHAnsi" w:eastAsia="Calibri" w:hAnsiTheme="majorHAnsi" w:cstheme="majorHAnsi"/>
          <w:i/>
          <w:noProof/>
          <w:color w:val="000000"/>
          <w:sz w:val="28"/>
          <w:szCs w:val="28"/>
          <w:lang w:val="en-GB"/>
        </w:rPr>
      </w:pPr>
      <w:r w:rsidRPr="006A18D3">
        <w:rPr>
          <w:rFonts w:asciiTheme="majorHAnsi" w:eastAsia="Calibri" w:hAnsiTheme="majorHAnsi" w:cstheme="majorHAnsi"/>
          <w:i/>
          <w:noProof/>
          <w:color w:val="000000"/>
          <w:sz w:val="28"/>
          <w:szCs w:val="28"/>
          <w:lang w:val="en-GB"/>
        </w:rPr>
        <w:t>theo hồ sơ tín dụng đối với tổ chức tín dụng)</w:t>
      </w:r>
    </w:p>
    <w:p w:rsidR="001479DF" w:rsidRPr="006A18D3" w:rsidRDefault="001479DF" w:rsidP="001479DF">
      <w:pPr>
        <w:tabs>
          <w:tab w:val="left" w:pos="6804"/>
        </w:tabs>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Tên tổ chức tín dụng …</w:t>
      </w:r>
    </w:p>
    <w:p w:rsidR="001479DF" w:rsidRPr="006A18D3" w:rsidRDefault="001479DF" w:rsidP="001479DF">
      <w:pPr>
        <w:tabs>
          <w:tab w:val="left" w:pos="6804"/>
        </w:tabs>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Số văn bản: ...</w:t>
      </w:r>
    </w:p>
    <w:p w:rsidR="001479DF" w:rsidRPr="006A18D3" w:rsidRDefault="001479DF" w:rsidP="001479DF">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BẢNG KÊ HỒ SƠ TÍN DỤNG ĐỂ VAY TÁI CẤP VỐN HOẶC GIA HẠN VAY TÁI CẤP VỐN</w:t>
      </w:r>
    </w:p>
    <w:p w:rsidR="001479DF" w:rsidRPr="006A18D3" w:rsidRDefault="001479DF" w:rsidP="001479DF">
      <w:pPr>
        <w:jc w:val="center"/>
        <w:rPr>
          <w:rFonts w:asciiTheme="majorHAnsi" w:eastAsia="Calibri" w:hAnsiTheme="majorHAnsi" w:cstheme="majorHAnsi"/>
          <w:i/>
          <w:noProof/>
          <w:color w:val="000000"/>
          <w:sz w:val="28"/>
          <w:szCs w:val="28"/>
          <w:lang w:val="en-GB"/>
        </w:rPr>
      </w:pPr>
      <w:r w:rsidRPr="006A18D3">
        <w:rPr>
          <w:rFonts w:asciiTheme="majorHAnsi" w:eastAsia="Calibri" w:hAnsiTheme="majorHAnsi" w:cstheme="majorHAnsi"/>
          <w:i/>
          <w:noProof/>
          <w:color w:val="000000"/>
          <w:sz w:val="28"/>
          <w:szCs w:val="28"/>
          <w:lang w:val="en-GB"/>
        </w:rPr>
        <w:t>Ngày … tháng … năm …</w:t>
      </w:r>
    </w:p>
    <w:p w:rsidR="001479DF" w:rsidRPr="006A18D3" w:rsidRDefault="001479DF" w:rsidP="001479DF">
      <w:pPr>
        <w:ind w:right="425"/>
        <w:jc w:val="right"/>
        <w:rPr>
          <w:rFonts w:asciiTheme="majorHAnsi" w:eastAsia="Calibri" w:hAnsiTheme="majorHAnsi" w:cstheme="majorHAnsi"/>
          <w:i/>
          <w:noProof/>
          <w:color w:val="000000"/>
          <w:sz w:val="28"/>
          <w:szCs w:val="28"/>
          <w:lang w:val="en-GB"/>
        </w:rPr>
      </w:pPr>
      <w:r w:rsidRPr="006A18D3">
        <w:rPr>
          <w:rFonts w:asciiTheme="majorHAnsi" w:eastAsia="Calibri" w:hAnsiTheme="majorHAnsi" w:cstheme="majorHAnsi"/>
          <w:i/>
          <w:noProof/>
          <w:color w:val="000000"/>
          <w:sz w:val="28"/>
          <w:szCs w:val="28"/>
          <w:lang w:val="en-GB"/>
        </w:rPr>
        <w:t>Đơn vị: triệu đồng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451"/>
        <w:gridCol w:w="1276"/>
        <w:gridCol w:w="1701"/>
        <w:gridCol w:w="1134"/>
        <w:gridCol w:w="1134"/>
        <w:gridCol w:w="1629"/>
        <w:gridCol w:w="1170"/>
        <w:gridCol w:w="1842"/>
        <w:gridCol w:w="1702"/>
      </w:tblGrid>
      <w:tr w:rsidR="001479DF" w:rsidRPr="006A18D3" w:rsidTr="00A11535">
        <w:trPr>
          <w:trHeight w:val="645"/>
        </w:trPr>
        <w:tc>
          <w:tcPr>
            <w:tcW w:w="675" w:type="dxa"/>
            <w:shd w:val="clear" w:color="auto" w:fill="auto"/>
            <w:vAlign w:val="center"/>
          </w:tcPr>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STT</w:t>
            </w:r>
          </w:p>
        </w:tc>
        <w:tc>
          <w:tcPr>
            <w:tcW w:w="1451" w:type="dxa"/>
            <w:shd w:val="clear" w:color="auto" w:fill="auto"/>
            <w:vAlign w:val="center"/>
          </w:tcPr>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Tên chi nhánh của TCTD</w:t>
            </w:r>
          </w:p>
        </w:tc>
        <w:tc>
          <w:tcPr>
            <w:tcW w:w="1276" w:type="dxa"/>
            <w:shd w:val="clear" w:color="auto" w:fill="auto"/>
            <w:vAlign w:val="center"/>
          </w:tcPr>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Tên khách hàng</w:t>
            </w:r>
          </w:p>
        </w:tc>
        <w:tc>
          <w:tcPr>
            <w:tcW w:w="1701" w:type="dxa"/>
            <w:shd w:val="clear" w:color="auto" w:fill="auto"/>
            <w:vAlign w:val="center"/>
          </w:tcPr>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Số hiệu hợp đồng tín dụng</w:t>
            </w:r>
          </w:p>
        </w:tc>
        <w:tc>
          <w:tcPr>
            <w:tcW w:w="1134" w:type="dxa"/>
            <w:shd w:val="clear" w:color="auto" w:fill="auto"/>
            <w:vAlign w:val="center"/>
          </w:tcPr>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Dư nợ gốc</w:t>
            </w:r>
          </w:p>
        </w:tc>
        <w:tc>
          <w:tcPr>
            <w:tcW w:w="1134" w:type="dxa"/>
            <w:shd w:val="clear" w:color="auto" w:fill="auto"/>
            <w:vAlign w:val="center"/>
          </w:tcPr>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Nhóm nợ</w:t>
            </w:r>
          </w:p>
        </w:tc>
        <w:tc>
          <w:tcPr>
            <w:tcW w:w="1629" w:type="dxa"/>
            <w:shd w:val="clear" w:color="auto" w:fill="auto"/>
            <w:vAlign w:val="center"/>
          </w:tcPr>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Ngày giải ngân cho vay</w:t>
            </w:r>
          </w:p>
        </w:tc>
        <w:tc>
          <w:tcPr>
            <w:tcW w:w="1170" w:type="dxa"/>
            <w:shd w:val="clear" w:color="auto" w:fill="auto"/>
            <w:vAlign w:val="center"/>
          </w:tcPr>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Ngày đến hạn</w:t>
            </w:r>
          </w:p>
        </w:tc>
        <w:tc>
          <w:tcPr>
            <w:tcW w:w="1842" w:type="dxa"/>
            <w:vAlign w:val="center"/>
          </w:tcPr>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Mục đích vay vốn của khách hàng</w:t>
            </w:r>
          </w:p>
        </w:tc>
        <w:tc>
          <w:tcPr>
            <w:tcW w:w="1702" w:type="dxa"/>
            <w:shd w:val="clear" w:color="auto" w:fill="auto"/>
            <w:vAlign w:val="center"/>
          </w:tcPr>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Ghi chú</w:t>
            </w:r>
          </w:p>
        </w:tc>
      </w:tr>
      <w:tr w:rsidR="001479DF" w:rsidRPr="006A18D3" w:rsidTr="00A11535">
        <w:trPr>
          <w:trHeight w:val="397"/>
        </w:trPr>
        <w:tc>
          <w:tcPr>
            <w:tcW w:w="675"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(1)</w:t>
            </w:r>
          </w:p>
        </w:tc>
        <w:tc>
          <w:tcPr>
            <w:tcW w:w="1451"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(2)</w:t>
            </w:r>
          </w:p>
        </w:tc>
        <w:tc>
          <w:tcPr>
            <w:tcW w:w="1276"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(3)</w:t>
            </w:r>
          </w:p>
        </w:tc>
        <w:tc>
          <w:tcPr>
            <w:tcW w:w="1701"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(4)</w:t>
            </w:r>
          </w:p>
        </w:tc>
        <w:tc>
          <w:tcPr>
            <w:tcW w:w="1134"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(5)</w:t>
            </w:r>
          </w:p>
        </w:tc>
        <w:tc>
          <w:tcPr>
            <w:tcW w:w="1134"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(6)</w:t>
            </w:r>
          </w:p>
        </w:tc>
        <w:tc>
          <w:tcPr>
            <w:tcW w:w="1629"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(7)</w:t>
            </w:r>
          </w:p>
        </w:tc>
        <w:tc>
          <w:tcPr>
            <w:tcW w:w="1170"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(8)</w:t>
            </w:r>
          </w:p>
        </w:tc>
        <w:tc>
          <w:tcPr>
            <w:tcW w:w="1842" w:type="dxa"/>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(9)</w:t>
            </w:r>
          </w:p>
        </w:tc>
        <w:tc>
          <w:tcPr>
            <w:tcW w:w="1702"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(10)</w:t>
            </w:r>
          </w:p>
        </w:tc>
      </w:tr>
      <w:tr w:rsidR="001479DF" w:rsidRPr="006A18D3" w:rsidTr="00A11535">
        <w:trPr>
          <w:trHeight w:val="397"/>
        </w:trPr>
        <w:tc>
          <w:tcPr>
            <w:tcW w:w="675"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1</w:t>
            </w:r>
          </w:p>
        </w:tc>
        <w:tc>
          <w:tcPr>
            <w:tcW w:w="1451" w:type="dxa"/>
            <w:vMerge w:val="restart"/>
            <w:shd w:val="clear" w:color="auto" w:fill="auto"/>
            <w:vAlign w:val="center"/>
          </w:tcPr>
          <w:p w:rsidR="001479DF" w:rsidRPr="006A18D3" w:rsidRDefault="001479DF" w:rsidP="00A11535">
            <w:pP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Chi nhánh A</w:t>
            </w:r>
          </w:p>
        </w:tc>
        <w:tc>
          <w:tcPr>
            <w:tcW w:w="1276"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701"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134"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134"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1</w:t>
            </w:r>
          </w:p>
        </w:tc>
        <w:tc>
          <w:tcPr>
            <w:tcW w:w="1629"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170"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842" w:type="dxa"/>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702" w:type="dxa"/>
            <w:vMerge w:val="restart"/>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Có bảo đảm bằng tài sản đối với toàn bộ giá trị khoản cho vay</w:t>
            </w:r>
          </w:p>
        </w:tc>
      </w:tr>
      <w:tr w:rsidR="001479DF" w:rsidRPr="006A18D3" w:rsidTr="00A11535">
        <w:trPr>
          <w:trHeight w:val="397"/>
        </w:trPr>
        <w:tc>
          <w:tcPr>
            <w:tcW w:w="675"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2</w:t>
            </w:r>
          </w:p>
        </w:tc>
        <w:tc>
          <w:tcPr>
            <w:tcW w:w="1451" w:type="dxa"/>
            <w:vMerge/>
            <w:shd w:val="clear" w:color="auto" w:fill="auto"/>
          </w:tcPr>
          <w:p w:rsidR="001479DF" w:rsidRPr="006A18D3" w:rsidRDefault="001479DF" w:rsidP="00A11535">
            <w:pPr>
              <w:jc w:val="both"/>
              <w:rPr>
                <w:rFonts w:asciiTheme="majorHAnsi" w:eastAsia="Calibri" w:hAnsiTheme="majorHAnsi" w:cstheme="majorHAnsi"/>
                <w:noProof/>
                <w:color w:val="000000"/>
                <w:sz w:val="28"/>
                <w:szCs w:val="28"/>
                <w:lang w:val="en-GB"/>
              </w:rPr>
            </w:pPr>
          </w:p>
        </w:tc>
        <w:tc>
          <w:tcPr>
            <w:tcW w:w="1276"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701"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134"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134"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1</w:t>
            </w:r>
          </w:p>
        </w:tc>
        <w:tc>
          <w:tcPr>
            <w:tcW w:w="1629"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170"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842" w:type="dxa"/>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702" w:type="dxa"/>
            <w:vMerge/>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p>
        </w:tc>
      </w:tr>
      <w:tr w:rsidR="001479DF" w:rsidRPr="006A18D3" w:rsidTr="00A11535">
        <w:trPr>
          <w:trHeight w:val="397"/>
        </w:trPr>
        <w:tc>
          <w:tcPr>
            <w:tcW w:w="675"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451" w:type="dxa"/>
            <w:shd w:val="clear" w:color="auto" w:fill="auto"/>
          </w:tcPr>
          <w:p w:rsidR="001479DF" w:rsidRPr="006A18D3" w:rsidRDefault="001479DF" w:rsidP="00A11535">
            <w:pPr>
              <w:jc w:val="both"/>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276"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701"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134"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134"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629"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p>
        </w:tc>
        <w:tc>
          <w:tcPr>
            <w:tcW w:w="1170"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p>
        </w:tc>
        <w:tc>
          <w:tcPr>
            <w:tcW w:w="1842" w:type="dxa"/>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702"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r>
      <w:tr w:rsidR="001479DF" w:rsidRPr="006A18D3" w:rsidTr="00A11535">
        <w:trPr>
          <w:trHeight w:val="397"/>
        </w:trPr>
        <w:tc>
          <w:tcPr>
            <w:tcW w:w="2126" w:type="dxa"/>
            <w:gridSpan w:val="2"/>
            <w:shd w:val="clear" w:color="auto" w:fill="auto"/>
            <w:vAlign w:val="center"/>
          </w:tcPr>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Tổng cộng</w:t>
            </w:r>
          </w:p>
        </w:tc>
        <w:tc>
          <w:tcPr>
            <w:tcW w:w="1276"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p>
        </w:tc>
        <w:tc>
          <w:tcPr>
            <w:tcW w:w="1701"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p>
        </w:tc>
        <w:tc>
          <w:tcPr>
            <w:tcW w:w="1134"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w:t>
            </w:r>
          </w:p>
        </w:tc>
        <w:tc>
          <w:tcPr>
            <w:tcW w:w="1134"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p>
        </w:tc>
        <w:tc>
          <w:tcPr>
            <w:tcW w:w="1629"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p>
        </w:tc>
        <w:tc>
          <w:tcPr>
            <w:tcW w:w="1170"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p>
        </w:tc>
        <w:tc>
          <w:tcPr>
            <w:tcW w:w="1842" w:type="dxa"/>
            <w:shd w:val="clear" w:color="auto" w:fill="auto"/>
            <w:vAlign w:val="center"/>
          </w:tcPr>
          <w:p w:rsidR="001479DF" w:rsidRPr="006A18D3" w:rsidRDefault="001479DF" w:rsidP="00A11535">
            <w:pPr>
              <w:rPr>
                <w:rFonts w:asciiTheme="majorHAnsi" w:eastAsia="Calibri" w:hAnsiTheme="majorHAnsi" w:cstheme="majorHAnsi"/>
                <w:noProof/>
                <w:color w:val="000000"/>
                <w:sz w:val="28"/>
                <w:szCs w:val="28"/>
                <w:lang w:val="en-GB"/>
              </w:rPr>
            </w:pPr>
          </w:p>
        </w:tc>
        <w:tc>
          <w:tcPr>
            <w:tcW w:w="1702" w:type="dxa"/>
            <w:shd w:val="clear" w:color="auto" w:fill="auto"/>
            <w:vAlign w:val="center"/>
          </w:tcPr>
          <w:p w:rsidR="001479DF" w:rsidRPr="006A18D3" w:rsidRDefault="001479DF" w:rsidP="00A11535">
            <w:pPr>
              <w:jc w:val="center"/>
              <w:rPr>
                <w:rFonts w:asciiTheme="majorHAnsi" w:eastAsia="Calibri" w:hAnsiTheme="majorHAnsi" w:cstheme="majorHAnsi"/>
                <w:noProof/>
                <w:color w:val="000000"/>
                <w:sz w:val="28"/>
                <w:szCs w:val="28"/>
                <w:lang w:val="en-GB"/>
              </w:rPr>
            </w:pPr>
          </w:p>
        </w:tc>
      </w:tr>
    </w:tbl>
    <w:p w:rsidR="001479DF" w:rsidRPr="006A18D3" w:rsidRDefault="001479DF" w:rsidP="001479DF">
      <w:pPr>
        <w:ind w:right="283"/>
        <w:jc w:val="both"/>
        <w:rPr>
          <w:rFonts w:asciiTheme="majorHAnsi" w:eastAsia="Calibri" w:hAnsiTheme="majorHAnsi" w:cstheme="majorHAnsi"/>
          <w:i/>
          <w:noProof/>
          <w:color w:val="000000"/>
          <w:sz w:val="28"/>
          <w:szCs w:val="28"/>
          <w:lang w:val="en-GB"/>
        </w:rPr>
      </w:pPr>
      <w:r w:rsidRPr="006A18D3">
        <w:rPr>
          <w:rFonts w:asciiTheme="majorHAnsi" w:eastAsia="Calibri" w:hAnsiTheme="majorHAnsi" w:cstheme="majorHAnsi"/>
          <w:i/>
          <w:noProof/>
          <w:color w:val="000000"/>
          <w:sz w:val="28"/>
          <w:szCs w:val="28"/>
          <w:lang w:val="en-GB"/>
        </w:rPr>
        <w:t xml:space="preserve">Tổ chức tín dụng </w:t>
      </w:r>
      <w:r w:rsidRPr="006A18D3">
        <w:rPr>
          <w:rFonts w:asciiTheme="majorHAnsi" w:hAnsiTheme="majorHAnsi" w:cstheme="majorHAnsi"/>
          <w:i/>
          <w:noProof/>
          <w:color w:val="000000"/>
          <w:sz w:val="28"/>
          <w:szCs w:val="28"/>
          <w:lang w:val="en-GB"/>
        </w:rPr>
        <w:t>chịu trách nhiệm và cam kết các thông tin, số liệu tại Bảng kê này là chính xác, các khoản cho vay liệt kê tại Bảng kê đáp ứng đầy đủ các tiêu chuẩn quy định tại Điều 13 Thông tư 24/2019/TT-NHNN (trường hợp hỗ trợ thanh khoản)/ Điều 18 Thông tư 24/2019/TT-NHNN (trường hợp hỗ trợ nguồn vốn cho vay ngành, lĩnh vực được khuyến khích phát triển).</w:t>
      </w:r>
    </w:p>
    <w:p w:rsidR="001479DF" w:rsidRPr="006A18D3" w:rsidRDefault="001479DF" w:rsidP="001479DF">
      <w:pPr>
        <w:ind w:right="284"/>
        <w:jc w:val="right"/>
        <w:rPr>
          <w:rFonts w:asciiTheme="majorHAnsi" w:eastAsia="Calibri" w:hAnsiTheme="majorHAnsi" w:cstheme="majorHAnsi"/>
          <w:i/>
          <w:noProof/>
          <w:color w:val="000000"/>
          <w:sz w:val="28"/>
          <w:szCs w:val="28"/>
          <w:lang w:val="en-GB"/>
        </w:rPr>
      </w:pPr>
      <w:r w:rsidRPr="006A18D3">
        <w:rPr>
          <w:rFonts w:asciiTheme="majorHAnsi" w:eastAsia="Calibri" w:hAnsiTheme="majorHAnsi" w:cstheme="majorHAnsi"/>
          <w:i/>
          <w:noProof/>
          <w:color w:val="000000"/>
          <w:sz w:val="28"/>
          <w:szCs w:val="28"/>
          <w:lang w:val="en-GB"/>
        </w:rPr>
        <w:t>…, ngày … tháng … năm …</w:t>
      </w:r>
    </w:p>
    <w:tbl>
      <w:tblPr>
        <w:tblW w:w="0" w:type="auto"/>
        <w:tblLook w:val="04A0"/>
      </w:tblPr>
      <w:tblGrid>
        <w:gridCol w:w="3936"/>
        <w:gridCol w:w="4252"/>
        <w:gridCol w:w="5245"/>
      </w:tblGrid>
      <w:tr w:rsidR="001479DF" w:rsidRPr="006A18D3" w:rsidTr="00A11535">
        <w:tc>
          <w:tcPr>
            <w:tcW w:w="3936" w:type="dxa"/>
            <w:shd w:val="clear" w:color="auto" w:fill="auto"/>
          </w:tcPr>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lastRenderedPageBreak/>
              <w:t>Lập biểu</w:t>
            </w:r>
          </w:p>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(Ký, ghi rõ họ tên)</w:t>
            </w:r>
          </w:p>
        </w:tc>
        <w:tc>
          <w:tcPr>
            <w:tcW w:w="4252" w:type="dxa"/>
            <w:shd w:val="clear" w:color="auto" w:fill="auto"/>
          </w:tcPr>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Kiểm soát</w:t>
            </w:r>
          </w:p>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noProof/>
                <w:color w:val="000000"/>
                <w:sz w:val="28"/>
                <w:szCs w:val="28"/>
                <w:lang w:val="en-GB"/>
              </w:rPr>
              <w:t>(Ký, ghi rõ họ tên)</w:t>
            </w:r>
          </w:p>
        </w:tc>
        <w:tc>
          <w:tcPr>
            <w:tcW w:w="5245" w:type="dxa"/>
            <w:shd w:val="clear" w:color="auto" w:fill="auto"/>
          </w:tcPr>
          <w:p w:rsidR="001479DF" w:rsidRPr="006A18D3" w:rsidRDefault="001479DF" w:rsidP="00A11535">
            <w:pPr>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Người đại diện hợp pháp của tổ chức tín dụng</w:t>
            </w:r>
          </w:p>
          <w:p w:rsidR="001479DF" w:rsidRPr="006A18D3" w:rsidRDefault="001479DF" w:rsidP="00A11535">
            <w:pPr>
              <w:jc w:val="center"/>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(Ký, ghi rõ chức danh, họ tên và đóng dấu)</w:t>
            </w:r>
          </w:p>
        </w:tc>
      </w:tr>
    </w:tbl>
    <w:p w:rsidR="001479DF" w:rsidRPr="006A18D3" w:rsidRDefault="001479DF" w:rsidP="001479DF">
      <w:pPr>
        <w:ind w:right="255"/>
        <w:jc w:val="both"/>
        <w:rPr>
          <w:rFonts w:asciiTheme="majorHAnsi" w:eastAsia="Calibri" w:hAnsiTheme="majorHAnsi" w:cstheme="majorHAnsi"/>
          <w:b/>
          <w:noProof/>
          <w:color w:val="000000"/>
          <w:sz w:val="28"/>
          <w:szCs w:val="28"/>
          <w:lang w:val="en-GB"/>
        </w:rPr>
      </w:pPr>
    </w:p>
    <w:p w:rsidR="001479DF" w:rsidRPr="006A18D3" w:rsidRDefault="001479DF" w:rsidP="001479DF">
      <w:pPr>
        <w:ind w:right="255"/>
        <w:jc w:val="both"/>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Hướng dẫn lập bảng kê:</w:t>
      </w:r>
    </w:p>
    <w:p w:rsidR="001479DF" w:rsidRPr="006A18D3" w:rsidRDefault="001479DF" w:rsidP="001479DF">
      <w:pPr>
        <w:ind w:right="255"/>
        <w:jc w:val="both"/>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 Thông tin, số liệu tại bảng kê tính đến ngày gần nhất ngày tổ chức tín dụng có Giấy đề nghị vay tái cấp vốn, Giấy đề nghị gia hạn vay tái cấp vốn hoặc tổ chức tín dụng cập nhật thông tin, số liệu theo quy định tại khoản 4 Điều 21 Thông tư số 24/2019/TT-NHNN.</w:t>
      </w:r>
    </w:p>
    <w:p w:rsidR="001479DF" w:rsidRPr="006A18D3" w:rsidRDefault="001479DF" w:rsidP="001479DF">
      <w:pPr>
        <w:spacing w:after="120"/>
        <w:ind w:right="255"/>
        <w:jc w:val="both"/>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 xml:space="preserve">- Cột (5): Định dạng “Number”. </w:t>
      </w:r>
    </w:p>
    <w:p w:rsidR="001479DF" w:rsidRPr="006A18D3" w:rsidRDefault="001479DF" w:rsidP="001479DF">
      <w:pPr>
        <w:spacing w:after="120"/>
        <w:ind w:right="255"/>
        <w:jc w:val="both"/>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 xml:space="preserve">- Cột (7), cột (8): Định dạng “dd/mm/yyyy”.  </w:t>
      </w:r>
    </w:p>
    <w:p w:rsidR="001479DF" w:rsidRPr="006A18D3" w:rsidRDefault="001479DF" w:rsidP="001479DF">
      <w:pPr>
        <w:spacing w:after="120"/>
        <w:ind w:right="255"/>
        <w:jc w:val="both"/>
        <w:rPr>
          <w:rFonts w:asciiTheme="majorHAnsi" w:eastAsia="Calibri" w:hAnsiTheme="majorHAnsi" w:cstheme="majorHAnsi"/>
          <w:noProof/>
          <w:color w:val="000000"/>
          <w:sz w:val="28"/>
          <w:szCs w:val="28"/>
          <w:lang w:val="en-GB"/>
        </w:rPr>
      </w:pPr>
      <w:r w:rsidRPr="006A18D3">
        <w:rPr>
          <w:rFonts w:asciiTheme="majorHAnsi" w:eastAsia="Calibri" w:hAnsiTheme="majorHAnsi" w:cstheme="majorHAnsi"/>
          <w:noProof/>
          <w:color w:val="000000"/>
          <w:sz w:val="28"/>
          <w:szCs w:val="28"/>
          <w:lang w:val="en-GB"/>
        </w:rPr>
        <w:t xml:space="preserve">- Cột (9): Cụ thể theo ngành, lĩnh vực cho vay đáp ứng tiêu chuẩn theo quy định tại Thông tư 24/2019/TT-NHNN. Định dạng “sort A to Z”. </w:t>
      </w:r>
    </w:p>
    <w:p w:rsidR="009A36CF" w:rsidRDefault="009A36CF"/>
    <w:sectPr w:rsidR="009A36CF" w:rsidSect="001479DF">
      <w:footerReference w:type="default" r:id="rId6"/>
      <w:pgSz w:w="16840" w:h="11907" w:orient="landscape"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48D3" w:rsidRDefault="00E548D3" w:rsidP="001479DF">
      <w:r>
        <w:separator/>
      </w:r>
    </w:p>
  </w:endnote>
  <w:endnote w:type="continuationSeparator" w:id="1">
    <w:p w:rsidR="00E548D3" w:rsidRDefault="00E548D3" w:rsidP="001479D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52254"/>
      <w:docPartObj>
        <w:docPartGallery w:val="Page Numbers (Bottom of Page)"/>
        <w:docPartUnique/>
      </w:docPartObj>
    </w:sdtPr>
    <w:sdtContent>
      <w:p w:rsidR="001479DF" w:rsidRDefault="001479DF">
        <w:pPr>
          <w:pStyle w:val="Footer"/>
          <w:jc w:val="center"/>
        </w:pPr>
        <w:fldSimple w:instr=" PAGE   \* MERGEFORMAT ">
          <w:r w:rsidR="00E548D3">
            <w:rPr>
              <w:noProof/>
            </w:rPr>
            <w:t>1</w:t>
          </w:r>
        </w:fldSimple>
      </w:p>
    </w:sdtContent>
  </w:sdt>
  <w:p w:rsidR="001479DF" w:rsidRDefault="001479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48D3" w:rsidRDefault="00E548D3" w:rsidP="001479DF">
      <w:r>
        <w:separator/>
      </w:r>
    </w:p>
  </w:footnote>
  <w:footnote w:type="continuationSeparator" w:id="1">
    <w:p w:rsidR="00E548D3" w:rsidRDefault="00E548D3" w:rsidP="001479D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visionView w:inkAnnotations="0"/>
  <w:defaultTabStop w:val="720"/>
  <w:characterSpacingControl w:val="doNotCompress"/>
  <w:savePreviewPicture/>
  <w:footnotePr>
    <w:footnote w:id="0"/>
    <w:footnote w:id="1"/>
  </w:footnotePr>
  <w:endnotePr>
    <w:endnote w:id="0"/>
    <w:endnote w:id="1"/>
  </w:endnotePr>
  <w:compat/>
  <w:rsids>
    <w:rsidRoot w:val="001479DF"/>
    <w:rsid w:val="001479DF"/>
    <w:rsid w:val="008D0355"/>
    <w:rsid w:val="009A36CF"/>
    <w:rsid w:val="00CD21C8"/>
    <w:rsid w:val="00E548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9DF"/>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479DF"/>
    <w:pPr>
      <w:tabs>
        <w:tab w:val="center" w:pos="4680"/>
        <w:tab w:val="right" w:pos="9360"/>
      </w:tabs>
    </w:pPr>
  </w:style>
  <w:style w:type="character" w:customStyle="1" w:styleId="HeaderChar">
    <w:name w:val="Header Char"/>
    <w:basedOn w:val="DefaultParagraphFont"/>
    <w:link w:val="Header"/>
    <w:uiPriority w:val="99"/>
    <w:semiHidden/>
    <w:rsid w:val="001479D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479DF"/>
    <w:pPr>
      <w:tabs>
        <w:tab w:val="center" w:pos="4680"/>
        <w:tab w:val="right" w:pos="9360"/>
      </w:tabs>
    </w:pPr>
  </w:style>
  <w:style w:type="character" w:customStyle="1" w:styleId="FooterChar">
    <w:name w:val="Footer Char"/>
    <w:basedOn w:val="DefaultParagraphFont"/>
    <w:link w:val="Footer"/>
    <w:uiPriority w:val="99"/>
    <w:rsid w:val="001479DF"/>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259</Words>
  <Characters>1479</Characters>
  <Application>Microsoft Office Word</Application>
  <DocSecurity>0</DocSecurity>
  <Lines>12</Lines>
  <Paragraphs>3</Paragraphs>
  <ScaleCrop>false</ScaleCrop>
  <Company/>
  <LinksUpToDate>false</LinksUpToDate>
  <CharactersWithSpaces>1735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1</cp:revision>
  <dcterms:created xsi:type="dcterms:W3CDTF">2019-12-31T03:12:00Z</dcterms:created>
  <dcterms:modified xsi:type="dcterms:W3CDTF">2019-12-31T03:12:00Z</dcterms:modified>
</cp:coreProperties>
</file>